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BC861" w14:textId="749781E7" w:rsidR="00C9585D" w:rsidRPr="00B06E5F" w:rsidRDefault="00C9585D" w:rsidP="00B06E5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525252" w:themeColor="accent3" w:themeShade="80"/>
          <w:sz w:val="24"/>
          <w:szCs w:val="24"/>
        </w:rPr>
      </w:pPr>
      <w:r w:rsidRPr="00B06E5F">
        <w:rPr>
          <w:rFonts w:ascii="Times New Roman" w:eastAsia="Times New Roman" w:hAnsi="Times New Roman" w:cs="B Nazanin"/>
          <w:b/>
          <w:bCs/>
          <w:color w:val="525252" w:themeColor="accent3" w:themeShade="80"/>
          <w:sz w:val="24"/>
          <w:szCs w:val="24"/>
          <w:rtl/>
        </w:rPr>
        <w:t>گزارش عملکرد شش ماهه اول1404</w:t>
      </w:r>
    </w:p>
    <w:tbl>
      <w:tblPr>
        <w:tblW w:w="4745" w:type="pct"/>
        <w:jc w:val="right"/>
        <w:tblBorders>
          <w:top w:val="outset" w:sz="6" w:space="0" w:color="E03E2D"/>
          <w:left w:val="outset" w:sz="6" w:space="0" w:color="E03E2D"/>
          <w:bottom w:val="outset" w:sz="6" w:space="0" w:color="E03E2D"/>
          <w:right w:val="outset" w:sz="6" w:space="0" w:color="E03E2D"/>
        </w:tblBorders>
        <w:shd w:val="clear" w:color="auto" w:fill="BDD6EE" w:themeFill="accent5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2"/>
        <w:gridCol w:w="865"/>
      </w:tblGrid>
      <w:tr w:rsidR="00EB45D3" w:rsidRPr="006C69A3" w14:paraId="4B010725" w14:textId="6496AE89" w:rsidTr="006C69A3">
        <w:trPr>
          <w:trHeight w:val="563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9CC2E5" w:themeFill="accent5" w:themeFillTint="99"/>
            <w:vAlign w:val="center"/>
            <w:hideMark/>
          </w:tcPr>
          <w:p w14:paraId="1CFA57A5" w14:textId="77777777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C69A3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rtl/>
              </w:rPr>
              <w:t>فعالیت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9CC2E5" w:themeFill="accent5" w:themeFillTint="99"/>
          </w:tcPr>
          <w:p w14:paraId="03B2BC7A" w14:textId="45BB146D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rtl/>
              </w:rPr>
              <w:t>ردیف</w:t>
            </w:r>
          </w:p>
        </w:tc>
      </w:tr>
      <w:tr w:rsidR="00EB45D3" w:rsidRPr="006C69A3" w14:paraId="57E5AA3E" w14:textId="7AF54DB6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09031FBF" w14:textId="28A09521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برگزاری کار </w:t>
            </w:r>
            <w:r w:rsidR="00B06E5F"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گاه های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هوش مصنوعی در کتابخانه ها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2FB34491" w14:textId="0A7B2EC7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</w:t>
            </w:r>
          </w:p>
        </w:tc>
      </w:tr>
      <w:tr w:rsidR="00EB45D3" w:rsidRPr="006C69A3" w14:paraId="6C311659" w14:textId="0B5A357D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26281EC4" w14:textId="29C5E29E" w:rsidR="00C9585D" w:rsidRPr="006C69A3" w:rsidRDefault="00783C7B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  <w:rtl/>
                <w:lang w:bidi="fa-IR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  <w:lang w:bidi="fa-IR"/>
              </w:rPr>
              <w:t>برگزاری تور آموزشی جهت آشنایی دانشجویان با کتابخانه مرکزی و کتابخانه دیجیتال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1EC2A27A" w14:textId="5EE010FF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2</w:t>
            </w:r>
          </w:p>
        </w:tc>
      </w:tr>
      <w:tr w:rsidR="00EB45D3" w:rsidRPr="006C69A3" w14:paraId="6EE5D708" w14:textId="2BDFE04A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749E1057" w14:textId="16BC2317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تشکیل جلسات کمیته </w:t>
            </w:r>
            <w:r w:rsidR="00B06E5F"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وجین جهت کتابداران کتابخانه مرکزی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46AC32AD" w14:textId="54F8EA4A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3</w:t>
            </w:r>
          </w:p>
        </w:tc>
      </w:tr>
      <w:tr w:rsidR="00EB45D3" w:rsidRPr="006C69A3" w14:paraId="2EF950CC" w14:textId="5720EEBD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3663D544" w14:textId="4A9AD437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تشکیل جلسات کمیته فهرست نویسی جهت </w:t>
            </w:r>
            <w:r w:rsidR="00B06E5F"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کتابداران واحد فهرست نویسی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2573A4F9" w14:textId="6C41090C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4</w:t>
            </w:r>
          </w:p>
        </w:tc>
      </w:tr>
      <w:tr w:rsidR="00EB45D3" w:rsidRPr="006C69A3" w14:paraId="69A7115C" w14:textId="608CB5E7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0B056958" w14:textId="4190D375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انتخاب و خرید منابع مورد نیاز کتابخانه های دانشگاه علوم پزشکی </w:t>
            </w:r>
            <w:r w:rsidR="00B06E5F"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ایلام 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از سی و ششمین نمایشگاه بین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المللی کتاب تهران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112B49C5" w14:textId="16050E58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5</w:t>
            </w:r>
          </w:p>
        </w:tc>
      </w:tr>
      <w:tr w:rsidR="00EB45D3" w:rsidRPr="006C69A3" w14:paraId="3B78BDF5" w14:textId="44B9BECB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64FF915E" w14:textId="02952B98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پیگیری جذب بودجه 1404 جهت کتابخانه های دانشگاه علوم پزشکی </w:t>
            </w:r>
            <w:r w:rsidR="00B06E5F"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ایلام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24D93C60" w14:textId="5B03F88B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6</w:t>
            </w:r>
          </w:p>
        </w:tc>
      </w:tr>
      <w:tr w:rsidR="00EB45D3" w:rsidRPr="006C69A3" w14:paraId="25DECDC3" w14:textId="3CEE056B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2E379869" w14:textId="77777777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بررسی و پیش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بینی نیازهای کتابخانه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ها و پیشنهاد در تأمین بودجه سالانه و پیگیری امور مربوط به خرید کتاب و منابع و سفارشات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1252ABD9" w14:textId="4262DDA3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7</w:t>
            </w:r>
          </w:p>
        </w:tc>
      </w:tr>
      <w:tr w:rsidR="00EB45D3" w:rsidRPr="006C69A3" w14:paraId="31433111" w14:textId="08974C5F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6008160F" w14:textId="30CC17ED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مدیریت، برنامه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ریزی، سازماندهی، هماهنگی، نظارت و کنترل فعالیت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های کتابخانه های دانشگاه علوم پزشکی </w:t>
            </w:r>
            <w:r w:rsidR="00B06E5F"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ایلام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2F599641" w14:textId="65DD9AB1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8</w:t>
            </w:r>
          </w:p>
        </w:tc>
      </w:tr>
      <w:tr w:rsidR="00EB45D3" w:rsidRPr="006C69A3" w14:paraId="4F3845DF" w14:textId="1AE608DE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0C87C25E" w14:textId="1221C6FA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پیگیری و نظارت و تکمیل اطلاعات سامانه یکپارچه پایش برنامه عملیاتی 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 xml:space="preserve">HOP 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وزارتخانه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05EEEA8B" w14:textId="01846866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9</w:t>
            </w:r>
          </w:p>
        </w:tc>
      </w:tr>
      <w:tr w:rsidR="00EB45D3" w:rsidRPr="006C69A3" w14:paraId="76ECF3CE" w14:textId="39A88B52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138F2E39" w14:textId="77777777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نظارت بر اجرای فرآیند آموزش به صورت حضوری و مجازی برای اعضاء هیأت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علمی، کارکنان و کاربران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11F5A4CE" w14:textId="23EA78AB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10</w:t>
            </w:r>
          </w:p>
        </w:tc>
      </w:tr>
      <w:tr w:rsidR="00EB45D3" w:rsidRPr="006C69A3" w14:paraId="2DD50774" w14:textId="17C0286A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18D7E767" w14:textId="77777777" w:rsidR="00C9585D" w:rsidRPr="006C69A3" w:rsidRDefault="00C9585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ارتباط با کتابخانه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های اقماری و دریافت مشکلات آن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ها و راهنمایی جهت بهبود عملکرد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41DB191D" w14:textId="033982E6" w:rsidR="00C9585D" w:rsidRPr="006C69A3" w:rsidRDefault="00C9585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11</w:t>
            </w:r>
          </w:p>
        </w:tc>
      </w:tr>
      <w:tr w:rsidR="006D13CD" w:rsidRPr="006C69A3" w14:paraId="424D77A3" w14:textId="0D5F46A1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</w:tcPr>
          <w:p w14:paraId="6891F413" w14:textId="20BE9FB0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تامین نیروی کتابدار رسمی جهت بخش فهرست نویسی کتابخانه مرکزی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1B2540D8" w14:textId="74E20A87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12</w:t>
            </w:r>
          </w:p>
        </w:tc>
      </w:tr>
      <w:tr w:rsidR="006D13CD" w:rsidRPr="006C69A3" w14:paraId="1BEBE654" w14:textId="7F355457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0619840F" w14:textId="14611895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بازدید از کتابخانه های دانشگاه به صورت دوره ای توسط مدیریت اطلاع رسانی پزشکی و منابع علمی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3BF17E73" w14:textId="01B82C5C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13</w:t>
            </w:r>
          </w:p>
        </w:tc>
      </w:tr>
      <w:tr w:rsidR="006D13CD" w:rsidRPr="006C69A3" w14:paraId="0526649C" w14:textId="3A8CCA89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652986D4" w14:textId="6EEC1534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lastRenderedPageBreak/>
              <w:t>به روز رسانی مداوم سایت کتابخانه دیجیتال و کتابخانه مرکزی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4642AB8E" w14:textId="07A9089B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14</w:t>
            </w:r>
          </w:p>
        </w:tc>
      </w:tr>
      <w:tr w:rsidR="006D13CD" w:rsidRPr="006C69A3" w14:paraId="0DF82428" w14:textId="06BC52DC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533AB32A" w14:textId="77777777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برگزاری وبینارها و کارگاه های آموزشی جهت اعضای هیات علمی، دانشجویان و کتابداران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01C38776" w14:textId="115BE4D6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15</w:t>
            </w:r>
          </w:p>
        </w:tc>
      </w:tr>
      <w:tr w:rsidR="006D13CD" w:rsidRPr="006C69A3" w14:paraId="257B6A99" w14:textId="45305C8F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40BCC918" w14:textId="77777777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نظارت بر امر وجین کتابخانه های دانشگاه</w:t>
            </w:r>
            <w:bookmarkStart w:id="0" w:name="_GoBack"/>
            <w:bookmarkEnd w:id="0"/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6B5BB79C" w14:textId="336FD242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16</w:t>
            </w:r>
          </w:p>
        </w:tc>
      </w:tr>
      <w:tr w:rsidR="006D13CD" w:rsidRPr="006C69A3" w14:paraId="0B491651" w14:textId="389FCE76" w:rsidTr="006C69A3">
        <w:trPr>
          <w:trHeight w:val="791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64257011" w14:textId="4C00EC71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پیگیری تمدید قرارداد نرم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افزار کتابخانه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</w:rPr>
              <w:t>‌</w:t>
            </w: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ای ثنا و انجام کلیه کارهای مربوط به آن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65C06932" w14:textId="71586E56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17</w:t>
            </w:r>
          </w:p>
        </w:tc>
      </w:tr>
      <w:tr w:rsidR="006D13CD" w:rsidRPr="006C69A3" w14:paraId="34406F68" w14:textId="75D75985" w:rsidTr="006C69A3">
        <w:trPr>
          <w:trHeight w:val="788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18815256" w14:textId="5A7B8C28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معرفی و هماهنگی کتابداران دو کتابخانه آیت اله طالقانی و پزشکی به کتابدار دانشگاه جهت آموزش نرم افزار کتابخانه و سازماندهی منابع کتابخانه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61923B20" w14:textId="1990D9E4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18</w:t>
            </w:r>
          </w:p>
        </w:tc>
      </w:tr>
      <w:tr w:rsidR="006D13CD" w:rsidRPr="006C69A3" w14:paraId="051446F1" w14:textId="41F3258C" w:rsidTr="006C69A3">
        <w:trPr>
          <w:trHeight w:val="788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12F967EA" w14:textId="3E24147F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بایگانی پایان نامه های دانشجویی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27F44D6B" w14:textId="7499B204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19</w:t>
            </w:r>
          </w:p>
        </w:tc>
      </w:tr>
      <w:tr w:rsidR="006D13CD" w:rsidRPr="006C69A3" w14:paraId="3665A57C" w14:textId="317EDB16" w:rsidTr="006C69A3">
        <w:trPr>
          <w:trHeight w:val="368"/>
          <w:jc w:val="right"/>
        </w:trPr>
        <w:tc>
          <w:tcPr>
            <w:tcW w:w="4512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  <w:vAlign w:val="center"/>
            <w:hideMark/>
          </w:tcPr>
          <w:p w14:paraId="084ABDF2" w14:textId="74B65748" w:rsidR="006D13CD" w:rsidRPr="006C69A3" w:rsidRDefault="006D13CD" w:rsidP="006C69A3">
            <w:pPr>
              <w:bidi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تامین نیروی طرحی به تعداد یک نفر جهت شیفت عصر کتابخانه مرکزی</w:t>
            </w:r>
          </w:p>
        </w:tc>
        <w:tc>
          <w:tcPr>
            <w:tcW w:w="488" w:type="pct"/>
            <w:tcBorders>
              <w:top w:val="outset" w:sz="6" w:space="0" w:color="E03E2D"/>
              <w:left w:val="outset" w:sz="6" w:space="0" w:color="E03E2D"/>
              <w:bottom w:val="outset" w:sz="6" w:space="0" w:color="E03E2D"/>
              <w:right w:val="outset" w:sz="6" w:space="0" w:color="E03E2D"/>
            </w:tcBorders>
            <w:shd w:val="clear" w:color="auto" w:fill="BDD6EE" w:themeFill="accent5" w:themeFillTint="66"/>
          </w:tcPr>
          <w:p w14:paraId="6AA796A2" w14:textId="0EB7010F" w:rsidR="006D13CD" w:rsidRPr="006C69A3" w:rsidRDefault="006D13CD" w:rsidP="006C69A3">
            <w:pPr>
              <w:bidi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C69A3">
              <w:rPr>
                <w:rFonts w:ascii="Arial" w:hAnsi="Arial" w:cs="Arial"/>
                <w:color w:val="002060"/>
                <w:sz w:val="24"/>
                <w:szCs w:val="24"/>
                <w:rtl/>
              </w:rPr>
              <w:t>20</w:t>
            </w:r>
          </w:p>
        </w:tc>
      </w:tr>
    </w:tbl>
    <w:p w14:paraId="5CDC4806" w14:textId="123F57BA" w:rsidR="00C9585D" w:rsidRPr="006C69A3" w:rsidRDefault="00C9585D" w:rsidP="006C69A3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C407B8" w14:textId="231523B5" w:rsidR="00C9585D" w:rsidRPr="006C69A3" w:rsidRDefault="00C9585D" w:rsidP="006C69A3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068C2C9" w14:textId="77777777" w:rsidR="00C9585D" w:rsidRPr="00C9585D" w:rsidRDefault="00C9585D" w:rsidP="00C958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9585D">
        <w:rPr>
          <w:rFonts w:ascii="Calibri" w:eastAsia="Times New Roman" w:hAnsi="Calibri" w:cs="Calibri" w:hint="cs"/>
          <w:sz w:val="24"/>
          <w:szCs w:val="24"/>
          <w:rtl/>
        </w:rPr>
        <w:t> </w:t>
      </w:r>
    </w:p>
    <w:p w14:paraId="3D424501" w14:textId="77777777" w:rsidR="00C9585D" w:rsidRPr="00C9585D" w:rsidRDefault="00C9585D" w:rsidP="00C9585D">
      <w:pPr>
        <w:bidi/>
        <w:rPr>
          <w:rFonts w:cs="B Nazanin"/>
        </w:rPr>
      </w:pPr>
    </w:p>
    <w:sectPr w:rsidR="00C9585D" w:rsidRPr="00C9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E3A"/>
    <w:multiLevelType w:val="multilevel"/>
    <w:tmpl w:val="A13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0BDF"/>
    <w:multiLevelType w:val="multilevel"/>
    <w:tmpl w:val="434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40EE0"/>
    <w:multiLevelType w:val="multilevel"/>
    <w:tmpl w:val="C92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3125E"/>
    <w:multiLevelType w:val="multilevel"/>
    <w:tmpl w:val="9508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1EE"/>
    <w:multiLevelType w:val="multilevel"/>
    <w:tmpl w:val="56C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7343A"/>
    <w:multiLevelType w:val="multilevel"/>
    <w:tmpl w:val="AEC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200C2"/>
    <w:multiLevelType w:val="multilevel"/>
    <w:tmpl w:val="6B7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0AEC"/>
    <w:multiLevelType w:val="multilevel"/>
    <w:tmpl w:val="7D8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824B3"/>
    <w:multiLevelType w:val="multilevel"/>
    <w:tmpl w:val="3B1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05F4D"/>
    <w:multiLevelType w:val="multilevel"/>
    <w:tmpl w:val="AD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16754"/>
    <w:multiLevelType w:val="multilevel"/>
    <w:tmpl w:val="AD0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D6861"/>
    <w:multiLevelType w:val="multilevel"/>
    <w:tmpl w:val="453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D4733"/>
    <w:multiLevelType w:val="multilevel"/>
    <w:tmpl w:val="8B2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B3867"/>
    <w:multiLevelType w:val="multilevel"/>
    <w:tmpl w:val="05F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3AD"/>
    <w:multiLevelType w:val="multilevel"/>
    <w:tmpl w:val="5B9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D6D4C"/>
    <w:multiLevelType w:val="multilevel"/>
    <w:tmpl w:val="9E4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C6241"/>
    <w:multiLevelType w:val="multilevel"/>
    <w:tmpl w:val="30E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15"/>
  </w:num>
  <w:num w:numId="6">
    <w:abstractNumId w:val="13"/>
  </w:num>
  <w:num w:numId="7">
    <w:abstractNumId w:val="10"/>
  </w:num>
  <w:num w:numId="8">
    <w:abstractNumId w:val="16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5D"/>
    <w:rsid w:val="00392740"/>
    <w:rsid w:val="004858DA"/>
    <w:rsid w:val="006C69A3"/>
    <w:rsid w:val="006D13CD"/>
    <w:rsid w:val="00783C7B"/>
    <w:rsid w:val="00B06E5F"/>
    <w:rsid w:val="00C9585D"/>
    <w:rsid w:val="00EB45D3"/>
    <w:rsid w:val="00F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D703"/>
  <w15:chartTrackingRefBased/>
  <w15:docId w15:val="{332B2AD4-4D91-4CD5-856E-4BFE8CF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قاسم پور</dc:creator>
  <cp:keywords/>
  <dc:description/>
  <cp:lastModifiedBy>dr</cp:lastModifiedBy>
  <cp:revision>8</cp:revision>
  <dcterms:created xsi:type="dcterms:W3CDTF">2025-08-30T09:03:00Z</dcterms:created>
  <dcterms:modified xsi:type="dcterms:W3CDTF">2025-09-03T08:37:00Z</dcterms:modified>
</cp:coreProperties>
</file>